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FCC5" w14:textId="275A5677" w:rsidR="008B3467" w:rsidRPr="00D646EB" w:rsidRDefault="00FE5566" w:rsidP="00D64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al" w:hAnsi="Calibri" w:cs="Calibri"/>
          <w:sz w:val="32"/>
          <w:szCs w:val="32"/>
        </w:rPr>
      </w:pPr>
      <w:r w:rsidRPr="00D646EB">
        <w:rPr>
          <w:rFonts w:ascii="Calibri" w:eastAsia="Arial" w:hAnsi="Calibri" w:cs="Calibri"/>
          <w:sz w:val="32"/>
          <w:szCs w:val="32"/>
        </w:rPr>
        <w:t>Å</w:t>
      </w:r>
      <w:r w:rsidR="00D646EB" w:rsidRPr="00D646EB">
        <w:rPr>
          <w:rFonts w:ascii="Calibri" w:eastAsia="Arial" w:hAnsi="Calibri" w:cs="Calibri"/>
          <w:sz w:val="32"/>
          <w:szCs w:val="32"/>
        </w:rPr>
        <w:t>RSHJUL SKOLEMILJØUTVALG (SMU)</w:t>
      </w:r>
    </w:p>
    <w:p w14:paraId="66458207" w14:textId="77777777" w:rsidR="00D646EB" w:rsidRDefault="00D646EB" w:rsidP="00D64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6A5255B1" w14:textId="284E68B5" w:rsidR="00D646EB" w:rsidRPr="00D646EB" w:rsidRDefault="00D646EB" w:rsidP="00D64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</w:rPr>
      </w:pPr>
      <w:r w:rsidRPr="00D646EB">
        <w:rPr>
          <w:rFonts w:asciiTheme="majorHAnsi" w:eastAsia="Arial" w:hAnsiTheme="majorHAnsi" w:cstheme="majorHAnsi"/>
          <w:color w:val="000000"/>
        </w:rPr>
        <w:t xml:space="preserve">Ved hver videregående skole skal det være et </w:t>
      </w:r>
      <w:r>
        <w:rPr>
          <w:rFonts w:asciiTheme="majorHAnsi" w:eastAsia="Arial" w:hAnsiTheme="majorHAnsi" w:cstheme="majorHAnsi"/>
          <w:color w:val="000000"/>
        </w:rPr>
        <w:t xml:space="preserve">skolemiljøutvalg </w:t>
      </w:r>
      <w:r w:rsidRPr="00D646EB">
        <w:rPr>
          <w:rFonts w:asciiTheme="majorHAnsi" w:eastAsia="Arial" w:hAnsiTheme="majorHAnsi" w:cstheme="majorHAnsi"/>
          <w:color w:val="000000"/>
        </w:rPr>
        <w:t>hvor eleve</w:t>
      </w:r>
      <w:r>
        <w:rPr>
          <w:rFonts w:asciiTheme="majorHAnsi" w:eastAsia="Arial" w:hAnsiTheme="majorHAnsi" w:cstheme="majorHAnsi"/>
          <w:color w:val="000000"/>
        </w:rPr>
        <w:t>r</w:t>
      </w:r>
      <w:r w:rsidRPr="00D646EB">
        <w:rPr>
          <w:rFonts w:asciiTheme="majorHAnsi" w:eastAsia="Arial" w:hAnsiTheme="majorHAnsi" w:cstheme="majorHAnsi"/>
          <w:color w:val="000000"/>
        </w:rPr>
        <w:t xml:space="preserve">, ansatte, skoleledelsen og </w:t>
      </w:r>
      <w:r>
        <w:rPr>
          <w:rFonts w:asciiTheme="majorHAnsi" w:eastAsia="Arial" w:hAnsiTheme="majorHAnsi" w:cstheme="majorHAnsi"/>
          <w:color w:val="000000"/>
        </w:rPr>
        <w:t>skoleeier</w:t>
      </w:r>
      <w:r w:rsidRPr="00D646EB">
        <w:rPr>
          <w:rFonts w:asciiTheme="majorHAnsi" w:eastAsia="Arial" w:hAnsiTheme="majorHAnsi" w:cstheme="majorHAnsi"/>
          <w:color w:val="000000"/>
        </w:rPr>
        <w:t xml:space="preserve"> er representert.</w:t>
      </w:r>
      <w:r w:rsidRPr="00D646EB">
        <w:rPr>
          <w:rFonts w:asciiTheme="majorHAnsi" w:hAnsiTheme="majorHAnsi" w:cstheme="majorHAnsi"/>
          <w:color w:val="2B2E34"/>
          <w:sz w:val="27"/>
          <w:szCs w:val="27"/>
          <w:shd w:val="clear" w:color="auto" w:fill="FFF9F3"/>
        </w:rPr>
        <w:t xml:space="preserve"> </w:t>
      </w:r>
      <w:r w:rsidRPr="00D646EB">
        <w:rPr>
          <w:rFonts w:asciiTheme="majorHAnsi" w:eastAsia="Arial" w:hAnsiTheme="majorHAnsi" w:cstheme="majorHAnsi"/>
          <w:color w:val="000000"/>
        </w:rPr>
        <w:t>Skolemiljøutvalget har typisk som oppgave å bli enige om hva som er et godt skolemiljø og legge planer for hvordan man oppnår dette.</w:t>
      </w:r>
      <w:r>
        <w:rPr>
          <w:rFonts w:asciiTheme="majorHAnsi" w:eastAsia="Arial" w:hAnsiTheme="majorHAnsi" w:cstheme="majorHAnsi"/>
          <w:color w:val="000000"/>
        </w:rPr>
        <w:br/>
      </w:r>
    </w:p>
    <w:p w14:paraId="73AE4C73" w14:textId="057DCF2C" w:rsidR="00D646EB" w:rsidRPr="00D646EB" w:rsidRDefault="00D646EB" w:rsidP="00D64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Skolemiljøutvalget</w:t>
      </w:r>
      <w:r w:rsidRPr="00D646EB">
        <w:rPr>
          <w:rFonts w:asciiTheme="majorHAnsi" w:eastAsia="Arial" w:hAnsiTheme="majorHAnsi" w:cstheme="majorHAnsi"/>
          <w:color w:val="000000"/>
        </w:rPr>
        <w:t xml:space="preserve"> skal være satt sammen slik at representantene fra elevene får flertall. Skolemiljøutvalget </w:t>
      </w:r>
      <w:r>
        <w:rPr>
          <w:rFonts w:asciiTheme="majorHAnsi" w:eastAsia="Arial" w:hAnsiTheme="majorHAnsi" w:cstheme="majorHAnsi"/>
          <w:color w:val="000000"/>
        </w:rPr>
        <w:t>skal ha møter fire ganger pr. skoleår.</w:t>
      </w:r>
    </w:p>
    <w:p w14:paraId="1D8DE21C" w14:textId="77777777" w:rsidR="00D646EB" w:rsidRDefault="00D646EB" w:rsidP="00D64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2796"/>
        <w:gridCol w:w="2797"/>
        <w:gridCol w:w="2515"/>
      </w:tblGrid>
      <w:tr w:rsidR="008B3467" w14:paraId="3374F0CE" w14:textId="77777777" w:rsidTr="007911B7">
        <w:tc>
          <w:tcPr>
            <w:tcW w:w="1099" w:type="dxa"/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C9B1" w14:textId="77777777" w:rsidR="008B3467" w:rsidRPr="007911B7" w:rsidRDefault="00FE5566" w:rsidP="0079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911B7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Når?</w:t>
            </w:r>
          </w:p>
        </w:tc>
        <w:tc>
          <w:tcPr>
            <w:tcW w:w="2796" w:type="dxa"/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57A8" w14:textId="77777777" w:rsidR="008B3467" w:rsidRPr="007911B7" w:rsidRDefault="00FE5566" w:rsidP="0079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911B7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Hva?</w:t>
            </w:r>
          </w:p>
        </w:tc>
        <w:tc>
          <w:tcPr>
            <w:tcW w:w="2797" w:type="dxa"/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7F08" w14:textId="77777777" w:rsidR="008B3467" w:rsidRPr="007911B7" w:rsidRDefault="00FE5566" w:rsidP="0079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911B7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Hva skjer?</w:t>
            </w:r>
          </w:p>
        </w:tc>
        <w:tc>
          <w:tcPr>
            <w:tcW w:w="2515" w:type="dxa"/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15D1" w14:textId="77777777" w:rsidR="008B3467" w:rsidRPr="007911B7" w:rsidRDefault="00FE5566" w:rsidP="0079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911B7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Hvem?</w:t>
            </w:r>
          </w:p>
        </w:tc>
      </w:tr>
      <w:tr w:rsidR="008B3467" w14:paraId="5D38C4AB" w14:textId="77777777" w:rsidTr="007911B7">
        <w:tc>
          <w:tcPr>
            <w:tcW w:w="1099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EEAC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14:paraId="783B1A7C" w14:textId="2CF3B9EB" w:rsidR="008B3467" w:rsidRPr="007911B7" w:rsidRDefault="00D646EB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1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Oktober</w:t>
            </w:r>
          </w:p>
        </w:tc>
        <w:tc>
          <w:tcPr>
            <w:tcW w:w="2796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F113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5FA3C94" w14:textId="454198B5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Konstituering av skolemiljøutvalget (SMU)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A4D9" w14:textId="72E938C3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Info om viktigheten av elevers rett til et trygt og godt læringsmiljø og ansattes ansvar for </w:t>
            </w:r>
            <w:r w:rsidR="007911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ap. </w:t>
            </w:r>
            <w:r w:rsidR="00D646E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6AB03AE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B904F2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Konstituering, lage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årshjul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samarbeidet og avklare forventninger med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fokus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på godt og trygt læringsmiljø.</w:t>
            </w:r>
          </w:p>
          <w:p w14:paraId="49FFB6D8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2164AEA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 om gjennomført tilsyn og avvik, samt drøfte videre skolemiljøtiltak.</w:t>
            </w:r>
          </w:p>
        </w:tc>
        <w:tc>
          <w:tcPr>
            <w:tcW w:w="25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FA07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 innkaller til møtet. Består av 4 elever (valgt fra elevrådet) og 3 voksne (rektor, ass. rektor og hovedverneombudet).</w:t>
            </w:r>
          </w:p>
        </w:tc>
      </w:tr>
      <w:tr w:rsidR="008B3467" w14:paraId="444895F0" w14:textId="77777777" w:rsidTr="007911B7">
        <w:tc>
          <w:tcPr>
            <w:tcW w:w="109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C410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5FEC6C5" w14:textId="77777777" w:rsidR="008B3467" w:rsidRPr="007911B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1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Januar</w:t>
            </w:r>
          </w:p>
        </w:tc>
        <w:tc>
          <w:tcPr>
            <w:tcW w:w="27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A654" w14:textId="77777777" w:rsidR="00D646EB" w:rsidRDefault="00D646EB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861C326" w14:textId="0F15F4AF" w:rsidR="008B3467" w:rsidRDefault="00D646EB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="00FE55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MU-møte</w:t>
            </w:r>
          </w:p>
        </w:tc>
        <w:tc>
          <w:tcPr>
            <w:tcW w:w="27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A0E6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Dialog; i hvilken grad føler elevene seg informert og involvert i skolehverdagen?</w:t>
            </w:r>
          </w:p>
          <w:p w14:paraId="60CF8A91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03D5FD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Drøfte videre skolemiljøtiltak.</w:t>
            </w:r>
          </w:p>
        </w:tc>
        <w:tc>
          <w:tcPr>
            <w:tcW w:w="251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0898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elever</w:t>
            </w:r>
          </w:p>
          <w:p w14:paraId="2DD68157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Rektor, ass. rektor og HVO</w:t>
            </w:r>
          </w:p>
          <w:p w14:paraId="192CC372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52A1E9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E1A5C02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3467" w14:paraId="0FA59C21" w14:textId="77777777" w:rsidTr="007911B7">
        <w:tc>
          <w:tcPr>
            <w:tcW w:w="109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A182" w14:textId="77777777" w:rsidR="00D646EB" w:rsidRDefault="00D646EB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944ACE" w14:textId="3FD8F69C" w:rsidR="008B3467" w:rsidRPr="007911B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1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Mars</w:t>
            </w:r>
          </w:p>
        </w:tc>
        <w:tc>
          <w:tcPr>
            <w:tcW w:w="27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798F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F7229AE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SMU-møte</w:t>
            </w:r>
          </w:p>
        </w:tc>
        <w:tc>
          <w:tcPr>
            <w:tcW w:w="27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EF6F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Fokus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på godt og trygt læringsmiljø, samt videre oppfølging.</w:t>
            </w:r>
          </w:p>
          <w:p w14:paraId="0C6337B7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55D1868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Gjennomgang av elevundersøkelsen, samt drøfte videre skolemiljøtiltak.</w:t>
            </w:r>
          </w:p>
          <w:p w14:paraId="6F7E3F12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94687F4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Informasjon om innsynsrett.</w:t>
            </w:r>
          </w:p>
        </w:tc>
        <w:tc>
          <w:tcPr>
            <w:tcW w:w="251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290B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elever</w:t>
            </w:r>
          </w:p>
          <w:p w14:paraId="1C915CE6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Rektor, ass. rektor og HVO</w:t>
            </w:r>
          </w:p>
        </w:tc>
      </w:tr>
      <w:tr w:rsidR="008B3467" w14:paraId="1A6E6578" w14:textId="77777777" w:rsidTr="007911B7">
        <w:tc>
          <w:tcPr>
            <w:tcW w:w="109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56C8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052AB9" w14:textId="77777777" w:rsidR="008B3467" w:rsidRPr="007911B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1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Mai</w:t>
            </w:r>
          </w:p>
        </w:tc>
        <w:tc>
          <w:tcPr>
            <w:tcW w:w="27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BC8C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E020952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SMU-møte</w:t>
            </w:r>
          </w:p>
        </w:tc>
        <w:tc>
          <w:tcPr>
            <w:tcW w:w="27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1ED1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Evaluering; i hvilken grad føler elevene seg informert og involvert i skolehverdagen?</w:t>
            </w:r>
          </w:p>
          <w:p w14:paraId="606320F9" w14:textId="77777777" w:rsidR="008B3467" w:rsidRDefault="008B3467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5F4E39F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Drøfte videre skolemiljøtiltak. Lure tips til neste skoleår?</w:t>
            </w:r>
          </w:p>
        </w:tc>
        <w:tc>
          <w:tcPr>
            <w:tcW w:w="251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4D98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elever</w:t>
            </w:r>
          </w:p>
          <w:p w14:paraId="6966739E" w14:textId="77777777" w:rsidR="008B3467" w:rsidRDefault="00FE5566" w:rsidP="00D6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Rektor, ass. rektor og HVO</w:t>
            </w:r>
          </w:p>
        </w:tc>
      </w:tr>
    </w:tbl>
    <w:p w14:paraId="183763BE" w14:textId="77777777" w:rsidR="008B3467" w:rsidRDefault="008B3467" w:rsidP="00D646EB">
      <w:pPr>
        <w:pStyle w:val="Tittel"/>
        <w:spacing w:before="0"/>
        <w:ind w:right="0"/>
        <w:jc w:val="left"/>
        <w:rPr>
          <w:b w:val="0"/>
          <w:i w:val="0"/>
          <w:color w:val="000000"/>
          <w:sz w:val="20"/>
          <w:szCs w:val="20"/>
        </w:rPr>
      </w:pPr>
    </w:p>
    <w:p w14:paraId="1FFA3DE0" w14:textId="77777777" w:rsidR="008B3467" w:rsidRDefault="008B3467" w:rsidP="00D646EB">
      <w:pPr>
        <w:pStyle w:val="Tittel"/>
        <w:spacing w:before="0"/>
        <w:ind w:right="0"/>
        <w:jc w:val="left"/>
        <w:rPr>
          <w:b w:val="0"/>
          <w:i w:val="0"/>
          <w:color w:val="000000"/>
          <w:sz w:val="20"/>
          <w:szCs w:val="20"/>
        </w:rPr>
      </w:pPr>
    </w:p>
    <w:p w14:paraId="5E2489A6" w14:textId="77777777" w:rsidR="008B3467" w:rsidRDefault="008B3467" w:rsidP="00D646EB">
      <w:pPr>
        <w:pStyle w:val="Tittel"/>
        <w:spacing w:before="0"/>
        <w:ind w:right="0"/>
        <w:jc w:val="left"/>
        <w:rPr>
          <w:b w:val="0"/>
          <w:i w:val="0"/>
          <w:color w:val="000000"/>
          <w:sz w:val="20"/>
          <w:szCs w:val="20"/>
        </w:rPr>
      </w:pPr>
    </w:p>
    <w:p w14:paraId="3AC185E3" w14:textId="77777777" w:rsidR="008B3467" w:rsidRDefault="008B3467" w:rsidP="00D646EB">
      <w:pPr>
        <w:pStyle w:val="Tittel"/>
        <w:spacing w:before="0"/>
        <w:ind w:right="0"/>
        <w:jc w:val="left"/>
        <w:rPr>
          <w:b w:val="0"/>
          <w:i w:val="0"/>
          <w:color w:val="000000"/>
          <w:sz w:val="20"/>
          <w:szCs w:val="20"/>
        </w:rPr>
      </w:pPr>
    </w:p>
    <w:p w14:paraId="2D3A347A" w14:textId="77777777" w:rsidR="008B3467" w:rsidRDefault="008B3467" w:rsidP="00D646EB">
      <w:pPr>
        <w:pStyle w:val="Tittel"/>
        <w:spacing w:before="0"/>
        <w:ind w:right="0"/>
        <w:jc w:val="left"/>
        <w:rPr>
          <w:b w:val="0"/>
          <w:i w:val="0"/>
          <w:color w:val="000000"/>
          <w:sz w:val="20"/>
          <w:szCs w:val="20"/>
        </w:rPr>
      </w:pPr>
    </w:p>
    <w:p w14:paraId="2CFBEC16" w14:textId="77777777" w:rsidR="008B3467" w:rsidRDefault="008B3467" w:rsidP="00D646EB">
      <w:pPr>
        <w:pStyle w:val="Tittel"/>
        <w:spacing w:before="6"/>
        <w:ind w:right="0"/>
        <w:jc w:val="left"/>
        <w:rPr>
          <w:b w:val="0"/>
          <w:i w:val="0"/>
          <w:color w:val="000000"/>
          <w:sz w:val="20"/>
          <w:szCs w:val="20"/>
        </w:rPr>
      </w:pPr>
    </w:p>
    <w:p w14:paraId="579CD192" w14:textId="77777777" w:rsidR="008B3467" w:rsidRDefault="00FE5566" w:rsidP="00D646EB">
      <w:pPr>
        <w:pStyle w:val="Tittel"/>
        <w:jc w:val="left"/>
        <w:rPr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Side </w:t>
      </w:r>
      <w:r>
        <w:rPr>
          <w:i w:val="0"/>
          <w:sz w:val="22"/>
          <w:szCs w:val="22"/>
        </w:rPr>
        <w:t xml:space="preserve">1 </w:t>
      </w:r>
      <w:r>
        <w:rPr>
          <w:b w:val="0"/>
          <w:i w:val="0"/>
          <w:sz w:val="22"/>
          <w:szCs w:val="22"/>
        </w:rPr>
        <w:t xml:space="preserve">av </w:t>
      </w:r>
      <w:r>
        <w:rPr>
          <w:i w:val="0"/>
          <w:sz w:val="22"/>
          <w:szCs w:val="22"/>
        </w:rPr>
        <w:t>1</w:t>
      </w:r>
    </w:p>
    <w:sectPr w:rsidR="008B3467">
      <w:pgSz w:w="11910" w:h="16840"/>
      <w:pgMar w:top="1380" w:right="1160" w:bottom="280" w:left="130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67"/>
    <w:rsid w:val="007911B7"/>
    <w:rsid w:val="008B3467"/>
    <w:rsid w:val="00CF0238"/>
    <w:rsid w:val="00D646EB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10C2"/>
  <w15:docId w15:val="{1B8EFBAC-67F6-44DA-BB04-A4AD292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57"/>
      <w:ind w:right="254"/>
      <w:jc w:val="right"/>
    </w:pPr>
    <w:rPr>
      <w:rFonts w:ascii="Calibri" w:eastAsia="Calibri" w:hAnsi="Calibri" w:cs="Calibri"/>
      <w:b/>
      <w:i/>
      <w:sz w:val="24"/>
      <w:szCs w:val="24"/>
    </w:rPr>
  </w:style>
  <w:style w:type="paragraph" w:styleId="Undertittel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bwX92IYxKKTkWN9wBHGhFFpuQ==">CgMxLjA4AXIhMVplTnFlVXhQcy1DSnBhTzdBdVlTclNtTExZLWpUTlZp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53D0267-F551-4279-81B2-10B06AE4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Ann-Tove Jacobsen</dc:creator>
  <cp:lastModifiedBy>Ann-Tove Jacobsen</cp:lastModifiedBy>
  <cp:revision>2</cp:revision>
  <dcterms:created xsi:type="dcterms:W3CDTF">2025-02-19T08:04:00Z</dcterms:created>
  <dcterms:modified xsi:type="dcterms:W3CDTF">2025-02-19T08:04:00Z</dcterms:modified>
</cp:coreProperties>
</file>